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B2" w:rsidRDefault="00C340B2" w:rsidP="00C340B2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C340B2" w:rsidRPr="00535C48" w:rsidRDefault="00C340B2" w:rsidP="00C340B2">
      <w:pPr>
        <w:spacing w:line="120" w:lineRule="exact"/>
        <w:jc w:val="center"/>
        <w:rPr>
          <w:b/>
        </w:rPr>
      </w:pPr>
    </w:p>
    <w:p w:rsidR="00C340B2" w:rsidRDefault="00C340B2" w:rsidP="00C340B2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C340B2" w:rsidRDefault="00C340B2" w:rsidP="00C340B2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C340B2" w:rsidRPr="00535C48" w:rsidRDefault="00C340B2" w:rsidP="00C340B2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C340B2" w:rsidRDefault="00C340B2" w:rsidP="00C340B2">
      <w:pPr>
        <w:spacing w:line="240" w:lineRule="atLeast"/>
      </w:pPr>
    </w:p>
    <w:p w:rsidR="00C340B2" w:rsidRPr="00535C48" w:rsidRDefault="00C340B2" w:rsidP="00C340B2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C340B2" w:rsidRDefault="00C340B2" w:rsidP="00C340B2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C340B2" w:rsidRDefault="00C340B2" w:rsidP="00C340B2">
      <w:pPr>
        <w:spacing w:line="380" w:lineRule="exact"/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C340B2" w:rsidRDefault="00C340B2" w:rsidP="00C340B2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340B2" w:rsidRPr="003624A5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C340B2" w:rsidRPr="00F12438" w:rsidRDefault="00C340B2" w:rsidP="00C340B2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C340B2" w:rsidRPr="003624A5" w:rsidRDefault="00C340B2" w:rsidP="00C340B2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C340B2" w:rsidRPr="00535C48" w:rsidRDefault="00C340B2" w:rsidP="00C340B2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C340B2" w:rsidRPr="00535C48" w:rsidRDefault="00C340B2" w:rsidP="00C340B2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C340B2" w:rsidRPr="00535C48" w:rsidDel="00C14BE2" w:rsidRDefault="00C340B2" w:rsidP="00C340B2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C340B2" w:rsidRPr="00535C48" w:rsidRDefault="00C340B2" w:rsidP="00C340B2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C340B2" w:rsidRDefault="00C340B2" w:rsidP="00C340B2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C340B2" w:rsidRDefault="00C340B2" w:rsidP="00C340B2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 мотивированный вывод, основанный </w:t>
      </w:r>
      <w:r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>
        <w:rPr>
          <w:rFonts w:eastAsiaTheme="minorHAnsi"/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C340B2" w:rsidRDefault="00C340B2" w:rsidP="00C340B2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C340B2" w:rsidRPr="00535C48" w:rsidRDefault="00C340B2" w:rsidP="00C340B2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C340B2" w:rsidRPr="00535C48" w:rsidRDefault="00C340B2" w:rsidP="00C340B2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C340B2" w:rsidRPr="00535C48" w:rsidRDefault="00C340B2" w:rsidP="00C340B2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C340B2" w:rsidRDefault="00C340B2" w:rsidP="00C340B2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C340B2" w:rsidRDefault="00C340B2" w:rsidP="00C340B2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 xml:space="preserve"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C340B2" w:rsidRDefault="00C340B2" w:rsidP="00C340B2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C340B2" w:rsidRPr="00535C48" w:rsidRDefault="00C340B2" w:rsidP="00C340B2">
      <w:pPr>
        <w:ind w:firstLine="709"/>
      </w:pPr>
    </w:p>
    <w:p w:rsidR="00C340B2" w:rsidRDefault="00C340B2" w:rsidP="00C340B2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C340B2" w:rsidRDefault="00C340B2" w:rsidP="00C340B2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C340B2" w:rsidRPr="00535C48" w:rsidRDefault="00C340B2" w:rsidP="00C340B2">
      <w:pPr>
        <w:spacing w:line="240" w:lineRule="atLeast"/>
        <w:jc w:val="center"/>
      </w:pPr>
      <w:r w:rsidRPr="00535C48">
        <w:t>замещал должность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C340B2" w:rsidRPr="00535C48" w:rsidRDefault="00C340B2" w:rsidP="00C340B2">
      <w:pPr>
        <w:ind w:firstLine="709"/>
      </w:pPr>
    </w:p>
    <w:p w:rsidR="00C340B2" w:rsidRDefault="00C340B2" w:rsidP="00C340B2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C340B2" w:rsidRPr="00535C48" w:rsidRDefault="00C340B2" w:rsidP="00C340B2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C340B2" w:rsidRPr="00535C48" w:rsidRDefault="00C340B2" w:rsidP="00C340B2">
      <w:pPr>
        <w:ind w:firstLine="709"/>
      </w:pPr>
    </w:p>
    <w:p w:rsidR="00C340B2" w:rsidRDefault="00C340B2" w:rsidP="00C340B2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:rsidR="00C340B2" w:rsidRPr="00535C48" w:rsidRDefault="00C340B2" w:rsidP="00C340B2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C340B2" w:rsidRPr="00535C48" w:rsidRDefault="00C340B2" w:rsidP="00C340B2">
      <w:pPr>
        <w:ind w:firstLine="709"/>
      </w:pPr>
    </w:p>
    <w:p w:rsidR="00C340B2" w:rsidRDefault="00C340B2" w:rsidP="00C340B2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C340B2" w:rsidRDefault="00C340B2" w:rsidP="00C340B2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C340B2" w:rsidRPr="00535C48" w:rsidRDefault="00C340B2" w:rsidP="00C340B2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340B2" w:rsidRDefault="00C340B2" w:rsidP="00C340B2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 частью 4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C340B2" w:rsidRDefault="00C340B2" w:rsidP="00C340B2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6"/>
      </w:r>
      <w:r>
        <w:t xml:space="preserve">. </w:t>
      </w:r>
      <w:r w:rsidRPr="00535C48"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59. </w:t>
      </w:r>
      <w:r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rFonts w:eastAsiaTheme="minorHAnsi"/>
          <w:szCs w:val="28"/>
          <w:lang w:eastAsia="en-US"/>
        </w:rPr>
        <w:footnoteReference w:id="7"/>
      </w:r>
      <w:r>
        <w:rPr>
          <w:rFonts w:eastAsiaTheme="minorHAnsi"/>
          <w:szCs w:val="28"/>
          <w:lang w:eastAsia="en-US"/>
        </w:rPr>
        <w:t>.</w:t>
      </w:r>
    </w:p>
    <w:p w:rsidR="00C340B2" w:rsidRDefault="00C340B2" w:rsidP="00C340B2">
      <w:pPr>
        <w:spacing w:line="240" w:lineRule="atLeast"/>
        <w:jc w:val="center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C340B2" w:rsidRPr="00535C48" w:rsidRDefault="00C340B2" w:rsidP="00C340B2">
      <w:pPr>
        <w:spacing w:line="380" w:lineRule="exact"/>
        <w:ind w:firstLine="709"/>
      </w:pPr>
      <w:r>
        <w:lastRenderedPageBreak/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C340B2" w:rsidRPr="00535C48" w:rsidRDefault="00C340B2" w:rsidP="00C340B2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C340B2" w:rsidRPr="00535C48" w:rsidRDefault="00C340B2" w:rsidP="00C340B2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C340B2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rFonts w:eastAsiaTheme="minorHAnsi"/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aa"/>
          <w:rFonts w:eastAsiaTheme="minorHAnsi"/>
          <w:szCs w:val="28"/>
          <w:lang w:eastAsia="en-US"/>
        </w:rPr>
        <w:footnoteReference w:id="8"/>
      </w:r>
      <w:r>
        <w:rPr>
          <w:rFonts w:eastAsiaTheme="minorHAnsi"/>
          <w:szCs w:val="28"/>
          <w:lang w:eastAsia="en-US"/>
        </w:rPr>
        <w:t>.</w:t>
      </w:r>
    </w:p>
    <w:p w:rsidR="00C340B2" w:rsidRPr="00535C48" w:rsidRDefault="00C340B2" w:rsidP="00C340B2">
      <w:pPr>
        <w:spacing w:line="380" w:lineRule="exact"/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C340B2" w:rsidRPr="00535C48" w:rsidRDefault="00C340B2" w:rsidP="00C340B2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C340B2" w:rsidRPr="00EA5026" w:rsidRDefault="00C340B2" w:rsidP="00C340B2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C340B2" w:rsidRPr="00EA5026" w:rsidRDefault="00C340B2" w:rsidP="00C340B2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C340B2" w:rsidRPr="00EA5026" w:rsidRDefault="00C340B2" w:rsidP="00C340B2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C340B2" w:rsidRPr="00EA5026" w:rsidRDefault="00C340B2" w:rsidP="00C340B2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C340B2" w:rsidRDefault="00C340B2" w:rsidP="00C340B2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C340B2" w:rsidRPr="008C06A8" w:rsidRDefault="00C340B2" w:rsidP="00C340B2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70. </w:t>
      </w:r>
      <w:r>
        <w:rPr>
          <w:rFonts w:eastAsiaTheme="minorHAnsi"/>
          <w:szCs w:val="28"/>
          <w:lang w:eastAsia="en-US"/>
        </w:rPr>
        <w:t xml:space="preserve">Ограничения и обязанности, </w:t>
      </w:r>
      <w:r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rFonts w:eastAsiaTheme="minorHAnsi"/>
            <w:szCs w:val="28"/>
            <w:lang w:eastAsia="en-US"/>
          </w:rPr>
          <w:t>частями 1</w:t>
        </w:r>
      </w:hyperlink>
      <w:r w:rsidRPr="008C06A8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Pr="008C06A8">
        <w:rPr>
          <w:rFonts w:eastAsiaTheme="minorHAnsi"/>
          <w:szCs w:val="28"/>
          <w:lang w:eastAsia="en-US"/>
        </w:rPr>
        <w:t xml:space="preserve"> КоАП РФ</w:t>
      </w:r>
      <w:r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Pr="008C06A8">
        <w:rPr>
          <w:rFonts w:eastAsiaTheme="minorHAnsi"/>
          <w:szCs w:val="28"/>
          <w:lang w:eastAsia="en-US"/>
        </w:rPr>
        <w:t>.</w:t>
      </w:r>
    </w:p>
    <w:p w:rsidR="00C340B2" w:rsidRDefault="00C340B2" w:rsidP="00C340B2">
      <w:pPr>
        <w:ind w:firstLine="709"/>
      </w:pPr>
    </w:p>
    <w:p w:rsidR="00C340B2" w:rsidRPr="00535C48" w:rsidRDefault="00C340B2" w:rsidP="00C340B2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C340B2" w:rsidRPr="00535C48" w:rsidRDefault="00C340B2" w:rsidP="00C340B2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C340B2" w:rsidRPr="00535C48" w:rsidRDefault="00C340B2" w:rsidP="00C340B2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C340B2" w:rsidRPr="00535C48" w:rsidRDefault="00C340B2" w:rsidP="00C340B2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C340B2" w:rsidRPr="00535C48" w:rsidRDefault="00C340B2" w:rsidP="00C340B2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C340B2" w:rsidRPr="00535C48" w:rsidRDefault="00C340B2" w:rsidP="00C340B2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340B2" w:rsidRPr="00535C48" w:rsidRDefault="00C340B2" w:rsidP="00C340B2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C340B2" w:rsidRPr="00535C48" w:rsidRDefault="00C340B2" w:rsidP="00C340B2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C340B2" w:rsidRPr="00535C48" w:rsidRDefault="00C340B2" w:rsidP="00C340B2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C340B2" w:rsidRPr="00535C48" w:rsidRDefault="00C340B2" w:rsidP="00C340B2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C340B2" w:rsidRPr="00535C48" w:rsidRDefault="00C340B2" w:rsidP="00C340B2">
      <w:pPr>
        <w:ind w:firstLine="709"/>
      </w:pPr>
    </w:p>
    <w:p w:rsidR="00C340B2" w:rsidRPr="00535C48" w:rsidRDefault="00C340B2" w:rsidP="00C340B2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340B2" w:rsidRPr="00535C48" w:rsidRDefault="00C340B2" w:rsidP="00C340B2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C340B2" w:rsidRPr="00535C48" w:rsidRDefault="00C340B2" w:rsidP="00C340B2">
      <w:pPr>
        <w:spacing w:line="380" w:lineRule="exact"/>
        <w:ind w:firstLine="709"/>
      </w:pPr>
      <w:r>
        <w:t>82</w:t>
      </w:r>
      <w:r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C340B2" w:rsidRPr="00535C48" w:rsidRDefault="00C340B2" w:rsidP="00C340B2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Default="00C340B2" w:rsidP="00C340B2">
      <w:pPr>
        <w:spacing w:line="120" w:lineRule="exact"/>
        <w:rPr>
          <w:sz w:val="24"/>
          <w:szCs w:val="24"/>
        </w:rPr>
      </w:pPr>
    </w:p>
    <w:p w:rsidR="00C340B2" w:rsidRPr="00A51073" w:rsidRDefault="00C340B2" w:rsidP="00C340B2">
      <w:pPr>
        <w:spacing w:line="120" w:lineRule="exact"/>
        <w:rPr>
          <w:sz w:val="24"/>
          <w:szCs w:val="24"/>
        </w:rPr>
      </w:pPr>
    </w:p>
    <w:p w:rsidR="00C340B2" w:rsidRPr="00A51073" w:rsidRDefault="00C340B2" w:rsidP="00C340B2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114AEE" w:rsidRDefault="00114AEE">
      <w:bookmarkStart w:id="1" w:name="_GoBack"/>
      <w:bookmarkEnd w:id="1"/>
    </w:p>
    <w:sectPr w:rsidR="00114AEE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01" w:rsidRDefault="002E3801" w:rsidP="00C340B2">
      <w:pPr>
        <w:spacing w:line="240" w:lineRule="auto"/>
      </w:pPr>
      <w:r>
        <w:separator/>
      </w:r>
    </w:p>
  </w:endnote>
  <w:endnote w:type="continuationSeparator" w:id="0">
    <w:p w:rsidR="002E3801" w:rsidRDefault="002E3801" w:rsidP="00C3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2E3801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2E3801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01" w:rsidRDefault="002E3801" w:rsidP="00C340B2">
      <w:pPr>
        <w:spacing w:line="240" w:lineRule="auto"/>
      </w:pPr>
      <w:r>
        <w:separator/>
      </w:r>
    </w:p>
  </w:footnote>
  <w:footnote w:type="continuationSeparator" w:id="0">
    <w:p w:rsidR="002E3801" w:rsidRDefault="002E3801" w:rsidP="00C340B2">
      <w:pPr>
        <w:spacing w:line="240" w:lineRule="auto"/>
      </w:pPr>
      <w:r>
        <w:continuationSeparator/>
      </w:r>
    </w:p>
  </w:footnote>
  <w:footnote w:id="1">
    <w:p w:rsidR="00C340B2" w:rsidRPr="00535C48" w:rsidRDefault="00C340B2" w:rsidP="00C340B2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C340B2" w:rsidRPr="00535C48" w:rsidRDefault="00C340B2" w:rsidP="00C340B2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C340B2" w:rsidRPr="00535C48" w:rsidRDefault="00C340B2" w:rsidP="00C340B2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340B2" w:rsidRPr="00535C48" w:rsidRDefault="00C340B2" w:rsidP="00C340B2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C340B2" w:rsidRPr="00535C48" w:rsidRDefault="00C340B2" w:rsidP="00C340B2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C340B2" w:rsidRPr="003624A5" w:rsidRDefault="00C340B2" w:rsidP="00C340B2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C340B2" w:rsidRPr="00535C48" w:rsidRDefault="00C340B2" w:rsidP="00C340B2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C340B2" w:rsidRDefault="00C340B2" w:rsidP="00C340B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C340B2" w:rsidRDefault="00C340B2" w:rsidP="00C340B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C340B2" w:rsidRDefault="00C340B2" w:rsidP="00C340B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C340B2" w:rsidRDefault="00C340B2" w:rsidP="00C340B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C340B2" w:rsidRDefault="00C340B2" w:rsidP="00C340B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2E3801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340B2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2E3801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9"/>
    <w:rsid w:val="00114AEE"/>
    <w:rsid w:val="002E3801"/>
    <w:rsid w:val="006A3219"/>
    <w:rsid w:val="00C3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7CE6-5AFC-4BD6-BBD9-E56BCB1D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B2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40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340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40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340B2"/>
  </w:style>
  <w:style w:type="paragraph" w:styleId="a8">
    <w:name w:val="footnote text"/>
    <w:basedOn w:val="a"/>
    <w:link w:val="a9"/>
    <w:uiPriority w:val="99"/>
    <w:rsid w:val="00C340B2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C340B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340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48773</Characters>
  <Application>Microsoft Office Word</Application>
  <DocSecurity>0</DocSecurity>
  <Lines>406</Lines>
  <Paragraphs>114</Paragraphs>
  <ScaleCrop>false</ScaleCrop>
  <Company/>
  <LinksUpToDate>false</LinksUpToDate>
  <CharactersWithSpaces>57215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2024-12-12T11:26:00Z</dcterms:created>
  <dcterms:modified xsi:type="dcterms:W3CDTF">2024-12-12T11:26:00Z</dcterms:modified>
</cp:coreProperties>
</file>