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DC46" w14:textId="233795D6" w:rsidR="00302781" w:rsidRDefault="00302781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</w:pPr>
      <w:r>
        <w:rPr>
          <w:noProof/>
          <w:sz w:val="26"/>
        </w:rPr>
        <w:drawing>
          <wp:inline distT="0" distB="0" distL="0" distR="0" wp14:anchorId="51765958" wp14:editId="5CAE3BC3">
            <wp:extent cx="94043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6663A8" w14:textId="66DACABF" w:rsidR="000D30CD" w:rsidRPr="000D30CD" w:rsidRDefault="000D30CD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>РЕСПУБЛИКА ДАГЕСТАН</w:t>
      </w:r>
    </w:p>
    <w:p w14:paraId="6F0A019D" w14:textId="77777777" w:rsidR="000D30CD" w:rsidRPr="000D30CD" w:rsidRDefault="000D30CD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  <w:lang w:eastAsia="ru-RU"/>
        </w:rPr>
        <w:t>АДМИНИСТРАЦИЯ </w:t>
      </w:r>
      <w:r w:rsidRPr="000D30CD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>МУНИЦИПАЛЬНОГО РАЙОНА</w:t>
      </w:r>
    </w:p>
    <w:p w14:paraId="6DECDF37" w14:textId="77777777" w:rsidR="000D30CD" w:rsidRPr="000D30CD" w:rsidRDefault="000D30CD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>«</w:t>
      </w:r>
      <w:r w:rsidR="00527255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>МАГАРАМКЕНТСКИЙ</w:t>
      </w:r>
      <w:r w:rsidRPr="000D30CD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 xml:space="preserve"> РАЙОН»</w:t>
      </w:r>
    </w:p>
    <w:p w14:paraId="333C327F" w14:textId="77777777" w:rsidR="000D30CD" w:rsidRPr="000D30CD" w:rsidRDefault="000D30CD" w:rsidP="00B9238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19"/>
          <w:sz w:val="26"/>
          <w:szCs w:val="26"/>
          <w:lang w:eastAsia="ru-RU"/>
        </w:rPr>
        <w:t>ПРОЕКТ</w:t>
      </w:r>
    </w:p>
    <w:p w14:paraId="276A132C" w14:textId="77777777" w:rsidR="000D30CD" w:rsidRPr="000D30CD" w:rsidRDefault="000D30CD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  <w:lang w:eastAsia="ru-RU"/>
        </w:rPr>
        <w:t>П О С Т А Н О В Л Е Н И Е</w:t>
      </w:r>
    </w:p>
    <w:p w14:paraId="2B6E3B14" w14:textId="77777777" w:rsidR="00B9238B" w:rsidRDefault="00B9238B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</w:p>
    <w:p w14:paraId="3EDD3BAB" w14:textId="7302C1C4" w:rsidR="00B9238B" w:rsidRDefault="00EC1560" w:rsidP="00EC15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«_____</w:t>
      </w:r>
      <w:proofErr w:type="gramStart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________________2025г.                                                                                  №_______</w:t>
      </w:r>
    </w:p>
    <w:p w14:paraId="4846DAF3" w14:textId="77777777" w:rsidR="000D30CD" w:rsidRPr="000D30CD" w:rsidRDefault="00527255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t>Магарамкент</w:t>
      </w:r>
      <w:proofErr w:type="spellEnd"/>
    </w:p>
    <w:p w14:paraId="614A6F39" w14:textId="77777777" w:rsidR="000D30CD" w:rsidRPr="000D30CD" w:rsidRDefault="000D30CD" w:rsidP="00B9238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b/>
          <w:bCs/>
          <w:color w:val="000000"/>
          <w:spacing w:val="19"/>
          <w:sz w:val="26"/>
          <w:szCs w:val="26"/>
          <w:lang w:eastAsia="ru-RU"/>
        </w:rPr>
        <w:t> </w:t>
      </w:r>
    </w:p>
    <w:p w14:paraId="7F99BA77" w14:textId="55A13E5E" w:rsidR="003A1866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Об утверждении программы «Профилактика рисков причинения вреда (ущерба) охраняемым законом ценностям по муниципальному контролю </w:t>
      </w:r>
      <w:r w:rsidR="003A186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над обеспечением сохранности </w:t>
      </w:r>
      <w:r w:rsidR="003A1866" w:rsidRPr="00527255">
        <w:rPr>
          <w:rFonts w:ascii="Times New Roman" w:hAnsi="Times New Roman" w:cs="Times New Roman"/>
          <w:sz w:val="28"/>
          <w:szCs w:val="28"/>
        </w:rPr>
        <w:t>автомобильных</w:t>
      </w:r>
      <w:r w:rsidR="003A1866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r w:rsidR="002120B7">
        <w:rPr>
          <w:rFonts w:ascii="Times New Roman" w:hAnsi="Times New Roman" w:cs="Times New Roman"/>
          <w:sz w:val="28"/>
          <w:szCs w:val="28"/>
        </w:rPr>
        <w:t xml:space="preserve"> </w:t>
      </w:r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на территории</w:t>
      </w:r>
      <w:r w:rsid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муниципального района «</w:t>
      </w:r>
      <w:proofErr w:type="spellStart"/>
      <w:r w:rsidR="00527255"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</w:t>
      </w:r>
      <w:r w:rsid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Республики Дагестан </w:t>
      </w:r>
    </w:p>
    <w:p w14:paraId="4793627D" w14:textId="77777777" w:rsidR="000D30CD" w:rsidRPr="00527255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52725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на 2025 год»</w:t>
      </w:r>
    </w:p>
    <w:p w14:paraId="7C36279A" w14:textId="77777777" w:rsidR="000D30CD" w:rsidRPr="000D30CD" w:rsidRDefault="000D30CD" w:rsidP="00B923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</w:pPr>
      <w:r w:rsidRPr="000D30CD">
        <w:rPr>
          <w:rFonts w:ascii="Arial" w:eastAsia="Times New Roman" w:hAnsi="Arial" w:cs="Arial"/>
          <w:color w:val="000000"/>
          <w:spacing w:val="19"/>
          <w:sz w:val="26"/>
          <w:szCs w:val="26"/>
          <w:lang w:eastAsia="ru-RU"/>
        </w:rPr>
        <w:lastRenderedPageBreak/>
        <w:t> </w:t>
      </w:r>
    </w:p>
    <w:p w14:paraId="449A491D" w14:textId="77777777" w:rsidR="00F2334C" w:rsidRDefault="000D30CD" w:rsidP="00B92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          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решением Собрания депутатов муниципального района </w:t>
      </w:r>
      <w:r w:rsidR="00EB0B0D" w:rsidRPr="00F233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0B0D" w:rsidRPr="00F2334C">
        <w:rPr>
          <w:rFonts w:ascii="Times New Roman" w:hAnsi="Times New Roman" w:cs="Times New Roman"/>
          <w:sz w:val="28"/>
          <w:szCs w:val="28"/>
        </w:rPr>
        <w:t>Магарамкентский</w:t>
      </w: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район</w:t>
      </w:r>
      <w:proofErr w:type="spellEnd"/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» Республики Дагестан от 1</w:t>
      </w:r>
      <w:r w:rsidR="00527255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4</w:t>
      </w: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.09.2021 № </w:t>
      </w:r>
      <w:r w:rsidR="00527255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42-</w:t>
      </w:r>
      <w:r w:rsidR="00527255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 w:eastAsia="ru-RU"/>
        </w:rPr>
        <w:t>VII</w:t>
      </w:r>
      <w:r w:rsidR="00527255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-</w:t>
      </w:r>
      <w:proofErr w:type="spellStart"/>
      <w:r w:rsidR="00527255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сд</w:t>
      </w:r>
      <w:proofErr w:type="spellEnd"/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 «Об утверждении Положения о муниципальном контроле </w:t>
      </w:r>
      <w:r w:rsidR="00527255" w:rsidRPr="00F2334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527255" w:rsidRPr="00F2334C">
        <w:rPr>
          <w:rFonts w:ascii="Times New Roman" w:hAnsi="Times New Roman" w:cs="Times New Roman"/>
          <w:sz w:val="28"/>
          <w:szCs w:val="28"/>
        </w:rPr>
        <w:t xml:space="preserve"> на территории МР «</w:t>
      </w:r>
      <w:proofErr w:type="spellStart"/>
      <w:r w:rsidR="00527255" w:rsidRPr="00F2334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527255" w:rsidRPr="00F2334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Республики Дагестан», </w:t>
      </w:r>
    </w:p>
    <w:p w14:paraId="6DF3B546" w14:textId="77777777" w:rsidR="000D30CD" w:rsidRPr="00F2334C" w:rsidRDefault="000D30CD" w:rsidP="00B92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п о с т а н о в л я ю:</w:t>
      </w:r>
    </w:p>
    <w:p w14:paraId="397E332B" w14:textId="77777777" w:rsidR="000D30CD" w:rsidRPr="00F2334C" w:rsidRDefault="000D30CD" w:rsidP="00B9238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</w:t>
      </w:r>
    </w:p>
    <w:p w14:paraId="397DD276" w14:textId="77777777" w:rsidR="000D30CD" w:rsidRPr="00F2334C" w:rsidRDefault="000D30CD" w:rsidP="00B9238B">
      <w:pPr>
        <w:spacing w:before="100" w:beforeAutospacing="1" w:after="100" w:afterAutospacing="1" w:line="240" w:lineRule="auto"/>
        <w:ind w:right="-1" w:firstLine="708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1. Утвердить программу «Профилактика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муниципального района «</w:t>
      </w:r>
      <w:proofErr w:type="spellStart"/>
      <w:r w:rsidR="003A1866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 Республики Дагестан на 2025 год» согласно приложению.    </w:t>
      </w:r>
    </w:p>
    <w:p w14:paraId="2AFFCA8A" w14:textId="77777777" w:rsidR="003A1866" w:rsidRPr="002120B7" w:rsidRDefault="000D30CD" w:rsidP="00B923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2. </w:t>
      </w:r>
      <w:r w:rsidR="003A1866" w:rsidRPr="002120B7">
        <w:rPr>
          <w:rFonts w:ascii="Times New Roman" w:hAnsi="Times New Roman" w:cs="Times New Roman"/>
          <w:sz w:val="28"/>
          <w:szCs w:val="28"/>
        </w:rPr>
        <w:t>МКУ «Информационный центр» МР «</w:t>
      </w:r>
      <w:proofErr w:type="spellStart"/>
      <w:r w:rsidR="003A1866" w:rsidRPr="002120B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A1866" w:rsidRPr="002120B7">
        <w:rPr>
          <w:rFonts w:ascii="Times New Roman" w:hAnsi="Times New Roman" w:cs="Times New Roman"/>
          <w:sz w:val="28"/>
          <w:szCs w:val="28"/>
        </w:rPr>
        <w:t xml:space="preserve"> район» разместить настоящее постановление на официальном сайте МР «</w:t>
      </w:r>
      <w:proofErr w:type="spellStart"/>
      <w:r w:rsidR="003A1866" w:rsidRPr="002120B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3A1866" w:rsidRPr="002120B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A1866" w:rsidRP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Республики Дагестан в сети Интернет</w:t>
      </w:r>
      <w:r w:rsidR="003A1866" w:rsidRPr="002120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02781">
        <w:fldChar w:fldCharType="begin"/>
      </w:r>
      <w:r w:rsidR="00302781">
        <w:instrText xml:space="preserve"> HYPERLINK "http://www._______" </w:instrText>
      </w:r>
      <w:r w:rsidR="00302781">
        <w:fldChar w:fldCharType="separate"/>
      </w:r>
      <w:r w:rsidR="003A1866" w:rsidRPr="002120B7">
        <w:rPr>
          <w:rStyle w:val="a5"/>
          <w:rFonts w:ascii="Times New Roman" w:hAnsi="Times New Roman" w:cs="Times New Roman"/>
          <w:sz w:val="28"/>
          <w:szCs w:val="28"/>
        </w:rPr>
        <w:t>www</w:t>
      </w:r>
      <w:proofErr w:type="spellEnd"/>
      <w:r w:rsidR="003A1866" w:rsidRPr="002120B7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1866" w:rsidRPr="002120B7">
        <w:rPr>
          <w:rStyle w:val="a5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="003A1866" w:rsidRPr="002120B7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3A1866" w:rsidRPr="002120B7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2781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A1866" w:rsidRPr="002120B7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3A1866" w:rsidRPr="002120B7">
        <w:rPr>
          <w:rFonts w:ascii="Times New Roman" w:hAnsi="Times New Roman" w:cs="Times New Roman"/>
          <w:i/>
          <w:sz w:val="28"/>
          <w:szCs w:val="28"/>
        </w:rPr>
        <w:t>.</w:t>
      </w:r>
    </w:p>
    <w:p w14:paraId="3209E986" w14:textId="77777777" w:rsidR="000D30CD" w:rsidRPr="00F2334C" w:rsidRDefault="000D30CD" w:rsidP="00B9238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 3. Контроль исполнения настоящего постановления возложить на заместителя главы администрации муниципального района «</w:t>
      </w:r>
      <w:proofErr w:type="spellStart"/>
      <w:r w:rsidR="003A1866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="003A1866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</w:t>
      </w: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» Республики </w:t>
      </w:r>
      <w:r w:rsidR="003A1866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Дагестан </w:t>
      </w:r>
      <w:proofErr w:type="spellStart"/>
      <w:r w:rsidR="003A1866"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Т.Л.Техмезова</w:t>
      </w:r>
      <w:proofErr w:type="spellEnd"/>
    </w:p>
    <w:p w14:paraId="415087E8" w14:textId="77777777" w:rsidR="000D30CD" w:rsidRPr="00F2334C" w:rsidRDefault="000D30CD" w:rsidP="00B9238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F2334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4.   Настоящее постановление вступает в силу с 01 января 2025 года.</w:t>
      </w:r>
    </w:p>
    <w:p w14:paraId="497A9B09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 </w:t>
      </w:r>
    </w:p>
    <w:p w14:paraId="7F9A743E" w14:textId="77777777" w:rsidR="000D30CD" w:rsidRPr="00163078" w:rsidRDefault="000D30CD" w:rsidP="002120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Глава</w:t>
      </w:r>
    </w:p>
    <w:p w14:paraId="636A75C4" w14:textId="77777777" w:rsidR="000D30CD" w:rsidRPr="00163078" w:rsidRDefault="000D30CD" w:rsidP="002120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муниципального района</w:t>
      </w:r>
    </w:p>
    <w:p w14:paraId="0D5C9230" w14:textId="0886B5A0" w:rsidR="000D30CD" w:rsidRPr="00163078" w:rsidRDefault="000D30CD" w:rsidP="002120B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«</w:t>
      </w:r>
      <w:proofErr w:type="spellStart"/>
      <w:r w:rsidR="003A1866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proofErr w:type="gramStart"/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район»   </w:t>
      </w:r>
      <w:proofErr w:type="gramEnd"/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                                                                                      </w:t>
      </w:r>
      <w:proofErr w:type="spellStart"/>
      <w:r w:rsidR="003A1866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Ф.З.Ахмед</w:t>
      </w:r>
      <w:r w:rsidR="002120B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ов</w:t>
      </w:r>
      <w:proofErr w:type="spellEnd"/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</w:p>
    <w:p w14:paraId="3360EF70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УТВЕРЖДЕНА</w:t>
      </w:r>
    </w:p>
    <w:p w14:paraId="28CE77C7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постановлением</w:t>
      </w:r>
    </w:p>
    <w:p w14:paraId="13D5C9D7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администрации муниципального района</w:t>
      </w:r>
    </w:p>
    <w:p w14:paraId="0BACE798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«</w:t>
      </w:r>
      <w:proofErr w:type="spellStart"/>
      <w:r w:rsidR="003A1866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 Республики Дагестан</w:t>
      </w:r>
    </w:p>
    <w:p w14:paraId="033D6553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от «___» ___________20____ года №____</w:t>
      </w:r>
    </w:p>
    <w:p w14:paraId="6564CFFB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 </w:t>
      </w:r>
    </w:p>
    <w:p w14:paraId="678BBE2E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ПРОГРАММА</w:t>
      </w:r>
    </w:p>
    <w:p w14:paraId="1B24E920" w14:textId="77777777" w:rsidR="002120B7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муниципального района «</w:t>
      </w:r>
      <w:proofErr w:type="spellStart"/>
      <w:r w:rsidR="003A1866"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 xml:space="preserve"> район» Республики Дагестан</w:t>
      </w: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</w:p>
    <w:p w14:paraId="1AED3679" w14:textId="73E0819A" w:rsidR="000D30CD" w:rsidRPr="00163078" w:rsidRDefault="000D30CD" w:rsidP="00212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на 2025 год</w:t>
      </w:r>
    </w:p>
    <w:p w14:paraId="194F80C6" w14:textId="77777777" w:rsidR="000D30CD" w:rsidRPr="00163078" w:rsidRDefault="000D30CD" w:rsidP="00B923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0BE3FB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 </w:t>
      </w:r>
    </w:p>
    <w:p w14:paraId="5535C290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 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A75F8DD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На сайте администрации муниципального района «</w:t>
      </w:r>
      <w:proofErr w:type="spellStart"/>
      <w:r w:rsidR="00614445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Магарамкентский</w:t>
      </w:r>
      <w:proofErr w:type="spellEnd"/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район» Республики Дагестан создан раздел «Муниципальный контроль</w:t>
      </w:r>
      <w:r w:rsidR="00614445"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в сфере транспорта</w:t>
      </w: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», в котором аккумулируется необходимая информация.</w:t>
      </w:r>
    </w:p>
    <w:p w14:paraId="6AD8F4FF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</w:p>
    <w:p w14:paraId="203BDC1D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Раздел II. Цели и задачи реализации программы</w:t>
      </w:r>
    </w:p>
    <w:p w14:paraId="33781994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профилактики рисков причинения вреда</w:t>
      </w:r>
    </w:p>
    <w:p w14:paraId="217A22D3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 </w:t>
      </w:r>
    </w:p>
    <w:p w14:paraId="6596CD3F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 Цели разработки Программы профилактики являются:</w:t>
      </w:r>
    </w:p>
    <w:p w14:paraId="654CC67F" w14:textId="77777777" w:rsidR="000D30CD" w:rsidRPr="00163078" w:rsidRDefault="000D30CD" w:rsidP="00B9238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- повышение прозрачности системы муниципального контроля;</w:t>
      </w:r>
    </w:p>
    <w:p w14:paraId="4D67E375" w14:textId="77777777" w:rsidR="000D30CD" w:rsidRPr="00163078" w:rsidRDefault="000D30CD" w:rsidP="00B9238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исполнению.</w:t>
      </w:r>
    </w:p>
    <w:p w14:paraId="258DD9DF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 Проведение профилактических мероприятий Программы направлено на решение следующих задач:</w:t>
      </w:r>
    </w:p>
    <w:p w14:paraId="4DEBF5BC" w14:textId="77777777" w:rsidR="000D30CD" w:rsidRPr="00163078" w:rsidRDefault="000D30CD" w:rsidP="00B9238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         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03F1033" w14:textId="77777777" w:rsidR="000D30CD" w:rsidRPr="00163078" w:rsidRDefault="000D30CD" w:rsidP="00B9238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- определение перечня видов и сбор статистических данных, необходимых для организации профилактической работы;</w:t>
      </w:r>
    </w:p>
    <w:p w14:paraId="3E5D6BBD" w14:textId="77777777" w:rsidR="000D30CD" w:rsidRPr="00163078" w:rsidRDefault="000D30CD" w:rsidP="00B9238B">
      <w:pPr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- повышение квалификации кадрового состава контрольного органа.</w:t>
      </w:r>
    </w:p>
    <w:p w14:paraId="20FB0B34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 Сроки реализации Программы приведены в перечне основных профилактических мероприятий на 2025 год. Изменения в данную часть Программы в случае необходимости вносятся ежемесячно без проведения публичного обсуждения.</w:t>
      </w:r>
    </w:p>
    <w:p w14:paraId="59E97FB0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 </w:t>
      </w:r>
    </w:p>
    <w:p w14:paraId="6DD46CCF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Раздел III. Перечень профилактических мероприятий,</w:t>
      </w:r>
    </w:p>
    <w:p w14:paraId="095F344B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сроки (периодичность) их проведения</w:t>
      </w:r>
    </w:p>
    <w:p w14:paraId="2465D4B9" w14:textId="77777777" w:rsidR="000D30CD" w:rsidRPr="00163078" w:rsidRDefault="000D30CD" w:rsidP="00B9238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 </w:t>
      </w:r>
    </w:p>
    <w:p w14:paraId="719E8EE0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Перечень основных профилактических мероприятий Программы на 2025 год приведен в таблице №1.</w:t>
      </w:r>
    </w:p>
    <w:p w14:paraId="6ADC2720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Таблица № 1</w:t>
      </w:r>
    </w:p>
    <w:tbl>
      <w:tblPr>
        <w:tblW w:w="12380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5909"/>
        <w:gridCol w:w="3119"/>
        <w:gridCol w:w="2457"/>
      </w:tblGrid>
      <w:tr w:rsidR="000D30CD" w:rsidRPr="00163078" w14:paraId="67E9BF0C" w14:textId="77777777" w:rsidTr="002120B7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D5EB4A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B048AE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Профилактические мероприятия</w:t>
            </w:r>
          </w:p>
          <w:p w14:paraId="54E10A0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AD867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CDF27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Адресат мероприятия</w:t>
            </w:r>
          </w:p>
        </w:tc>
      </w:tr>
    </w:tbl>
    <w:p w14:paraId="0D530E12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 </w:t>
      </w:r>
    </w:p>
    <w:tbl>
      <w:tblPr>
        <w:tblW w:w="12380" w:type="dxa"/>
        <w:tblInd w:w="62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785"/>
        <w:gridCol w:w="3149"/>
        <w:gridCol w:w="2453"/>
      </w:tblGrid>
      <w:tr w:rsidR="000D30CD" w:rsidRPr="00163078" w14:paraId="43A0CA02" w14:textId="77777777" w:rsidTr="002120B7">
        <w:trPr>
          <w:trHeight w:val="28"/>
          <w:tblHeader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F92CB" w14:textId="77777777" w:rsidR="000D30CD" w:rsidRPr="00163078" w:rsidRDefault="000D30CD" w:rsidP="00B9238B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F4FCF" w14:textId="77777777" w:rsidR="000D30CD" w:rsidRPr="00163078" w:rsidRDefault="000D30CD" w:rsidP="00B9238B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659EC7" w14:textId="77777777" w:rsidR="000D30CD" w:rsidRPr="00163078" w:rsidRDefault="000D30CD" w:rsidP="00B9238B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890565" w14:textId="77777777" w:rsidR="000D30CD" w:rsidRPr="00163078" w:rsidRDefault="000D30CD" w:rsidP="00B9238B">
            <w:pPr>
              <w:spacing w:before="100" w:beforeAutospacing="1" w:after="100" w:afterAutospacing="1" w:line="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4</w:t>
            </w:r>
          </w:p>
        </w:tc>
      </w:tr>
      <w:tr w:rsidR="000D30CD" w:rsidRPr="00163078" w14:paraId="7FD3D34E" w14:textId="77777777" w:rsidTr="002120B7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2922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DE3CB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Размещение на официальном сайте муниципального района «</w:t>
            </w:r>
            <w:proofErr w:type="spellStart"/>
            <w:r w:rsidR="00614445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район» Республики Дагестан актуальной информации: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8C5B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6486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3FE162A0" w14:textId="77777777" w:rsidTr="002120B7">
        <w:trPr>
          <w:trHeight w:val="867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7C5E5344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D4253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контроля над обеспечением сохранности автомобильных дорог местного значения на территории муниципального района «</w:t>
            </w:r>
            <w:proofErr w:type="spellStart"/>
            <w:r w:rsidR="00614445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район» Республики Дагестан;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65647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37B89964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</w:tr>
      <w:tr w:rsidR="000D30CD" w:rsidRPr="00163078" w14:paraId="106FF47B" w14:textId="77777777" w:rsidTr="002120B7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44917109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A491A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 над обеспечением сохранности автомобильных дорог местного значения на территории муниципального района «</w:t>
            </w:r>
            <w:proofErr w:type="spellStart"/>
            <w:r w:rsidR="00614445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район» Республики Дагестан, о сроках и порядке их вступления в силу;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3345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B31BE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727C6DC5" w14:textId="77777777" w:rsidTr="002120B7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3202DDD6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053BB3" w14:textId="77777777" w:rsidR="000D30CD" w:rsidRPr="00163078" w:rsidRDefault="00302781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hyperlink r:id="rId5" w:history="1">
              <w:r w:rsidR="000D30CD" w:rsidRPr="00163078">
                <w:rPr>
                  <w:rFonts w:ascii="Times New Roman" w:eastAsia="Times New Roman" w:hAnsi="Times New Roman" w:cs="Times New Roman"/>
                  <w:spacing w:val="19"/>
                  <w:sz w:val="28"/>
                  <w:szCs w:val="28"/>
                  <w:lang w:eastAsia="ru-RU"/>
                </w:rPr>
                <w:t>перечень</w:t>
              </w:r>
            </w:hyperlink>
            <w:r w:rsidR="000D30CD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01D83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9227A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4C8D7555" w14:textId="77777777" w:rsidTr="002120B7">
        <w:trPr>
          <w:trHeight w:val="584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2A8C1B66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3E335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04937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5781C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4D1C2D12" w14:textId="77777777" w:rsidTr="002120B7">
        <w:trPr>
          <w:trHeight w:val="63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69DB0954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1D85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59956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684B43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563CCE3D" w14:textId="77777777" w:rsidTr="002120B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4CF9DC50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5BB8F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9364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395F6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2E5C4784" w14:textId="77777777" w:rsidTr="002120B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75C0EC20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2F6C08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ежегодный доклад о муниципальном контроле над обеспечением сохранности </w:t>
            </w: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автомобильных дорог местного значения;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5031AC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 xml:space="preserve">в срок до 3 дней со дня утверждения </w:t>
            </w: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доклада (не позднее 15 марта 2025 г.)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E40E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Контролируемые лица</w:t>
            </w:r>
          </w:p>
        </w:tc>
      </w:tr>
      <w:tr w:rsidR="000D30CD" w:rsidRPr="00163078" w14:paraId="608F12AF" w14:textId="77777777" w:rsidTr="002120B7">
        <w:trPr>
          <w:trHeight w:val="59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253060E1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016DFB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DE512A5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9235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D09D5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4909E735" w14:textId="77777777" w:rsidTr="002120B7">
        <w:trPr>
          <w:trHeight w:val="716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CA966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BA87D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Российской Федерации посредством: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B95C1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CFEDC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4BD7CD28" w14:textId="77777777" w:rsidTr="002120B7">
        <w:trPr>
          <w:trHeight w:val="63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EEF1"/>
            <w:vAlign w:val="center"/>
            <w:hideMark/>
          </w:tcPr>
          <w:p w14:paraId="1BF7B951" w14:textId="77777777" w:rsidR="000D30CD" w:rsidRPr="00163078" w:rsidRDefault="000D30CD" w:rsidP="00B9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D22D5" w14:textId="77777777" w:rsidR="000D30CD" w:rsidRPr="00163078" w:rsidRDefault="000D30CD" w:rsidP="00B9238B">
            <w:pPr>
              <w:spacing w:before="100" w:beforeAutospacing="1" w:after="100" w:afterAutospacing="1" w:line="63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публикаций на официальном сайте администрации муниципального района «</w:t>
            </w:r>
            <w:proofErr w:type="spellStart"/>
            <w:r w:rsidR="00614445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Магарамкентский</w:t>
            </w:r>
            <w:proofErr w:type="spellEnd"/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район» Республики Дагестан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E0705" w14:textId="77777777" w:rsidR="000D30CD" w:rsidRPr="00163078" w:rsidRDefault="000D30CD" w:rsidP="00B9238B">
            <w:pPr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в течение 2025 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002CA" w14:textId="77777777" w:rsidR="000D30CD" w:rsidRPr="00163078" w:rsidRDefault="000D30CD" w:rsidP="00B9238B">
            <w:pPr>
              <w:spacing w:before="100" w:beforeAutospacing="1" w:after="100" w:afterAutospacing="1" w:line="63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2D23D6D7" w14:textId="77777777" w:rsidTr="002120B7">
        <w:trPr>
          <w:trHeight w:val="1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66634" w14:textId="77777777" w:rsidR="000D30CD" w:rsidRPr="00163078" w:rsidRDefault="000D30CD" w:rsidP="00B9238B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EB973C" w14:textId="77777777" w:rsidR="000D30CD" w:rsidRPr="00163078" w:rsidRDefault="000D30CD" w:rsidP="00B9238B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</w:t>
            </w: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организацией и осуществлением муниципального контроля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59112" w14:textId="77777777" w:rsidR="000D30CD" w:rsidRPr="00163078" w:rsidRDefault="000D30CD" w:rsidP="00B9238B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B22D3" w14:textId="77777777" w:rsidR="000D30CD" w:rsidRPr="00163078" w:rsidRDefault="000D30CD" w:rsidP="00B9238B">
            <w:pPr>
              <w:spacing w:before="100" w:beforeAutospacing="1" w:after="100" w:afterAutospacing="1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  <w:tr w:rsidR="000D30CD" w:rsidRPr="00163078" w14:paraId="55827F82" w14:textId="77777777" w:rsidTr="002120B7">
        <w:trPr>
          <w:trHeight w:val="3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F5B5F2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1D576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Организация и проведение профилактических визитов к контролируемым лицам и их представителям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6F3D2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не реже чем 1 раза в год</w:t>
            </w:r>
          </w:p>
          <w:p w14:paraId="4374A4F8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(IV квартал 2025 г.)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9843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Контролируемые лица</w:t>
            </w:r>
          </w:p>
        </w:tc>
      </w:tr>
    </w:tbl>
    <w:p w14:paraId="0A62815C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 </w:t>
      </w:r>
    </w:p>
    <w:p w14:paraId="000965D1" w14:textId="77777777" w:rsidR="000D30CD" w:rsidRPr="00163078" w:rsidRDefault="000D30CD" w:rsidP="00B92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  <w:lang w:eastAsia="ru-RU"/>
        </w:rPr>
        <w:t>Раздел IV. Показатели результативности и эффективности программы профилактики рисков причинения вреда</w:t>
      </w:r>
    </w:p>
    <w:p w14:paraId="0393A9AB" w14:textId="77777777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</w:p>
    <w:tbl>
      <w:tblPr>
        <w:tblW w:w="13226" w:type="dxa"/>
        <w:tblInd w:w="19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57"/>
        <w:gridCol w:w="5455"/>
      </w:tblGrid>
      <w:tr w:rsidR="000D30CD" w:rsidRPr="00163078" w14:paraId="3D80CFAA" w14:textId="77777777" w:rsidTr="002120B7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0B513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F8AFE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3E18E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Величина</w:t>
            </w:r>
          </w:p>
        </w:tc>
      </w:tr>
      <w:tr w:rsidR="000D30CD" w:rsidRPr="00163078" w14:paraId="52620511" w14:textId="77777777" w:rsidTr="002120B7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AB86C0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D2CFE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403C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100 %</w:t>
            </w:r>
          </w:p>
        </w:tc>
      </w:tr>
      <w:tr w:rsidR="000D30CD" w:rsidRPr="00163078" w14:paraId="25CBA02C" w14:textId="77777777" w:rsidTr="002120B7">
        <w:trPr>
          <w:trHeight w:val="755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94F38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0DC5B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24DB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0D30CD" w:rsidRPr="00163078" w14:paraId="6E531AE5" w14:textId="77777777" w:rsidTr="002120B7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C9127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93E7D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Проведенные профилактические мероприятия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F1986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По необходимости мероприятий, </w:t>
            </w: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проведенных контрольным (надзорным) органом</w:t>
            </w:r>
          </w:p>
        </w:tc>
      </w:tr>
    </w:tbl>
    <w:p w14:paraId="5DA78F56" w14:textId="77E24B2F" w:rsidR="000D30CD" w:rsidRPr="00163078" w:rsidRDefault="000D30CD" w:rsidP="00B92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lastRenderedPageBreak/>
        <w:t> </w:t>
      </w:r>
    </w:p>
    <w:p w14:paraId="0032B435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14:paraId="34380030" w14:textId="77777777" w:rsidR="000D30CD" w:rsidRPr="00163078" w:rsidRDefault="000D30CD" w:rsidP="00B923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Таблица № 2</w:t>
      </w:r>
    </w:p>
    <w:tbl>
      <w:tblPr>
        <w:tblpPr w:leftFromText="180" w:rightFromText="180" w:topFromText="19" w:bottomFromText="19" w:vertAnchor="text"/>
        <w:tblW w:w="13954" w:type="dxa"/>
        <w:shd w:val="clear" w:color="auto" w:fill="DFEE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799"/>
        <w:gridCol w:w="3750"/>
        <w:gridCol w:w="3621"/>
      </w:tblGrid>
      <w:tr w:rsidR="000D30CD" w:rsidRPr="00163078" w14:paraId="0171B9BA" w14:textId="77777777" w:rsidTr="002120B7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C0E59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F5D8C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4AF4F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A62F50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Контакты</w:t>
            </w:r>
          </w:p>
        </w:tc>
      </w:tr>
      <w:tr w:rsidR="000D30CD" w:rsidRPr="00163078" w14:paraId="0E82D5C2" w14:textId="77777777" w:rsidTr="002120B7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EEC7C0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DE3C" w14:textId="197373FB" w:rsidR="000D30CD" w:rsidRPr="00163078" w:rsidRDefault="002120B7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Заместитель директора МКУ «Отдел строительства, архитектуры и ЖКХ»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Магарамкентский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район» Республики Дагестан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C682B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51CF0" w14:textId="77777777" w:rsidR="00EB0B0D" w:rsidRPr="00163078" w:rsidRDefault="00EB0B0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8(8722)55-18-00</w:t>
            </w:r>
          </w:p>
          <w:p w14:paraId="4DB40724" w14:textId="77777777" w:rsidR="000D30CD" w:rsidRPr="00163078" w:rsidRDefault="000D30CD" w:rsidP="00B92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</w:pP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8</w:t>
            </w:r>
            <w:r w:rsidR="00EB0B0D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(</w:t>
            </w:r>
            <w:r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872</w:t>
            </w:r>
            <w:r w:rsidR="00EB0B0D" w:rsidRPr="00163078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2)55-18-01</w:t>
            </w:r>
          </w:p>
        </w:tc>
      </w:tr>
    </w:tbl>
    <w:p w14:paraId="4C4F399C" w14:textId="77777777" w:rsidR="000D30CD" w:rsidRPr="00163078" w:rsidRDefault="000D30CD" w:rsidP="00B9238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</w:pPr>
      <w:r w:rsidRPr="0016307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 </w:t>
      </w:r>
    </w:p>
    <w:p w14:paraId="1661F01D" w14:textId="77777777" w:rsidR="008C5765" w:rsidRDefault="008C5765" w:rsidP="00B9238B"/>
    <w:sectPr w:rsidR="008C5765" w:rsidSect="000D3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0CD"/>
    <w:rsid w:val="000D30CD"/>
    <w:rsid w:val="00163078"/>
    <w:rsid w:val="002120B7"/>
    <w:rsid w:val="00302781"/>
    <w:rsid w:val="003A1866"/>
    <w:rsid w:val="00476345"/>
    <w:rsid w:val="00483404"/>
    <w:rsid w:val="00527255"/>
    <w:rsid w:val="00614445"/>
    <w:rsid w:val="008A5C84"/>
    <w:rsid w:val="008C5765"/>
    <w:rsid w:val="00B9238B"/>
    <w:rsid w:val="00CA167A"/>
    <w:rsid w:val="00D60043"/>
    <w:rsid w:val="00EB0B0D"/>
    <w:rsid w:val="00EC1560"/>
    <w:rsid w:val="00ED5C68"/>
    <w:rsid w:val="00F2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A0DA"/>
  <w15:docId w15:val="{0297DC1F-DE59-439A-B93E-7876843D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0CD"/>
    <w:rPr>
      <w:b/>
      <w:bCs/>
    </w:rPr>
  </w:style>
  <w:style w:type="character" w:styleId="a5">
    <w:name w:val="Hyperlink"/>
    <w:basedOn w:val="a0"/>
    <w:uiPriority w:val="99"/>
    <w:semiHidden/>
    <w:unhideWhenUsed/>
    <w:rsid w:val="000D3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BelaZHKH</cp:lastModifiedBy>
  <cp:revision>12</cp:revision>
  <dcterms:created xsi:type="dcterms:W3CDTF">2024-11-21T05:54:00Z</dcterms:created>
  <dcterms:modified xsi:type="dcterms:W3CDTF">2024-11-28T10:51:00Z</dcterms:modified>
</cp:coreProperties>
</file>