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969"/>
      </w:tblGrid>
      <w:tr w:rsidR="0057049F" w:rsidTr="00DB0EAF">
        <w:tc>
          <w:tcPr>
            <w:tcW w:w="3823" w:type="dxa"/>
          </w:tcPr>
          <w:p w:rsidR="0057049F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0868314" wp14:editId="235F9100">
                  <wp:extent cx="1017795" cy="1141897"/>
                  <wp:effectExtent l="0" t="0" r="0" b="1270"/>
                  <wp:docPr id="1" name="Рисунок 1" descr="C:\Users\Администратор\Desktop\prokuratura_63_met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prokuratura_63_met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86" cy="115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49F" w:rsidRPr="00622F59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049F" w:rsidRPr="00622F59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Прокуратура</w:t>
            </w:r>
          </w:p>
          <w:p w:rsidR="0057049F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Республики Дагестан</w:t>
            </w:r>
          </w:p>
        </w:tc>
        <w:tc>
          <w:tcPr>
            <w:tcW w:w="1559" w:type="dxa"/>
          </w:tcPr>
          <w:p w:rsidR="0057049F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049F" w:rsidRPr="00622F59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44A74B5" wp14:editId="576C1713">
                  <wp:extent cx="1955883" cy="1264042"/>
                  <wp:effectExtent l="0" t="0" r="6350" b="0"/>
                  <wp:docPr id="2" name="Рисунок 2" descr="C:\Users\Администратор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25" cy="127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Министерство</w:t>
            </w:r>
          </w:p>
          <w:p w:rsidR="0057049F" w:rsidRDefault="0057049F" w:rsidP="00DB0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2F5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по физической культуре и спорту Республики Дагестан</w:t>
            </w:r>
          </w:p>
        </w:tc>
      </w:tr>
    </w:tbl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0"/>
          <w:szCs w:val="50"/>
        </w:rPr>
      </w:pPr>
      <w:r w:rsidRP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>ПРОТИВОДЕЙСТВИЕ</w:t>
      </w: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0"/>
          <w:szCs w:val="50"/>
        </w:rPr>
      </w:pPr>
      <w:r w:rsidRP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>КОРРУПЦИИ</w:t>
      </w:r>
      <w:r>
        <w:rPr>
          <w:rFonts w:ascii="Times New Roman" w:hAnsi="Times New Roman" w:cs="Times New Roman"/>
          <w:b/>
          <w:bCs/>
          <w:color w:val="0070C0"/>
          <w:sz w:val="50"/>
          <w:szCs w:val="50"/>
        </w:rPr>
        <w:t xml:space="preserve"> </w:t>
      </w:r>
      <w:r w:rsidRPr="00622F59">
        <w:rPr>
          <w:rFonts w:ascii="Times New Roman" w:hAnsi="Times New Roman" w:cs="Times New Roman"/>
          <w:b/>
          <w:bCs/>
          <w:color w:val="0070C0"/>
          <w:sz w:val="50"/>
          <w:szCs w:val="50"/>
        </w:rPr>
        <w:t>В СПОРТЕ</w:t>
      </w: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50"/>
          <w:szCs w:val="50"/>
        </w:rPr>
      </w:pPr>
      <w:r w:rsidRPr="00622F59">
        <w:rPr>
          <w:rFonts w:ascii="Times New Roman" w:hAnsi="Times New Roman" w:cs="Times New Roman"/>
          <w:b/>
          <w:bCs/>
          <w:i/>
          <w:iCs/>
          <w:color w:val="0070C0"/>
          <w:sz w:val="50"/>
          <w:szCs w:val="50"/>
        </w:rPr>
        <w:t>ПАМЯТКА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t>ОСНОВНЫЕ ПОНЯТИЯ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Коррупция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(пункт 1 статьи 1 Федерального закона от 25.12.2008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коррупции») – злоупотребление служебным положением,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дача взятки, получение взятки, злоупотребление полномочиями,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коммерческий подкуп либо иное незаконное использование физическим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лицом своего должностного положения вопреки законным интересам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общества и государства в целях получения выгоды в виде денег, 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иного имущества или услуг имущественного характера, иных имущественных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прав для себя или для третьих лиц либо незаконное предоставление такой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выгоды указанному лицу другими физическими лицами;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совершение указанных деяний от имени или в интересах юридического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лица.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Противодействие коррупции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(пункт 2 статьи 1 Федерального закона от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color w:val="000000"/>
          <w:sz w:val="28"/>
          <w:szCs w:val="28"/>
        </w:rPr>
        <w:t>25.12.2008 № 273-ФЗ «О противодействии коррупции») -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федеральных органов государственной власти, органов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Федерации, органов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институтов гражданского общества, организаций и физических лиц в 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их полномочий: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последующему устранению причин коррупции (профилактика коррупции);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б) по выявлению, предупреждению, пресечению, раскрытию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расследованию коррупционных правонарушений (борьба с коррупцией);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правонарушений.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Манипулирование спортивными соревнованиями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(статья 3 Конвенции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color w:val="000000"/>
          <w:sz w:val="28"/>
          <w:szCs w:val="28"/>
        </w:rPr>
        <w:t>Совета Европы против манипулирования спортивными соревнованиями)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преднамеренные договоренности, действие или бездействие, направленные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на изменение ненадлежащим образом результата или хода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соревнования для полного или частичного устранения присущей указанному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спортивному соревнованию непредсказуемости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неправомерного преимущества для себя или других лиц.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t>НОРМАТИВНАЯ ПРАВОВАЯ БАЗА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Конвенция Совета Европы против манипулирования спортивными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соревнованиями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(заключена в г. </w:t>
      </w:r>
      <w:proofErr w:type="spellStart"/>
      <w:r w:rsidRPr="006C3197">
        <w:rPr>
          <w:rFonts w:ascii="Times New Roman" w:hAnsi="Times New Roman" w:cs="Times New Roman"/>
          <w:color w:val="000000"/>
          <w:sz w:val="28"/>
          <w:szCs w:val="28"/>
        </w:rPr>
        <w:t>Маглингене</w:t>
      </w:r>
      <w:proofErr w:type="spellEnd"/>
      <w:r w:rsidRPr="006C3197">
        <w:rPr>
          <w:rFonts w:ascii="Times New Roman" w:hAnsi="Times New Roman" w:cs="Times New Roman"/>
          <w:color w:val="000000"/>
          <w:sz w:val="28"/>
          <w:szCs w:val="28"/>
        </w:rPr>
        <w:t>, подписана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Федерацией 18.09.2014).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 соответствии с Конвенцией Стороны должны обеспечить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уголовного преследования за манипулирование спортивными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соревнованиями, если оно включает действия по принуждению,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или мошенничеству, как они определены в их законодательствах,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принятие законодательных и иных мер, направленных на установление в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законодательствах в качестве уголовных преступлений отмывание доходов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преступной деятельности, связанной с манипулированием спортивными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соревнованиями, и на привлечение юридических лиц к ответственности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правонарушения, предусмотренные в этой Конвенции (статьи 15–17).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Конвенция содержит положения о сотрудничестве Сторон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расследования, судебного преследования и осуществления правосудия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отношении правонарушений, предусмотренных в ней, включая арест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конфискацию. Такое сотрудничество должно осуществляться в полном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объеме в соответствии с применяемыми международными, региональными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двусторонними договорами о выдаче и взаимной помои по уголовным 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каждой из Сторон в отношении правонарушений,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предусмотренных статьями 15–17 Конвенции (статья 26).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Конвенция также предусматривает сотрудничество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 международными спортивными организациями в борьбе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 манипулированием спортивными соревнованиями.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Конвенция Совета Европы по единому подходу к безопасности,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защите и обслуживанию во время спортивных мероприятий, и в частности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футбольных матчей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(заключена в г. Сан-Дени 03.07.2016, ратифицирована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26.07.2017 № 185-ФЗ и вступила в силу для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Федерации с 1 декабря 2017 г.).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 соответствии с Конвенцией Стороны принимают меры, направленные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на обеспечение безопасности, защиты и обслуживания на футбольных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других спортивных мероприятиях; предупреждение и предотвращение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неправомерных действий или неправомерного поведения.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Федеральный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закон от 04.12.2007 №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329-ФЗ «О физической культуре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спорте в Российской Федерации».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основных принципов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законодательства о физической культуре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color w:val="000000"/>
          <w:sz w:val="28"/>
          <w:szCs w:val="28"/>
        </w:rPr>
        <w:t>и спорте является запрет на противоправное влияние на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официальных спортивных соревнований (статья 3).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Не допускается противоправное влияние на результат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спортивного соревнования,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которым признаются следующие действия,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совершенные в целях достижения заранее определенного результата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исхода этого соревнования (статья 26.2):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1) подкуп спортсменов, спортивных судей, тренеров,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спортивных команд, других участников или организаторов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спортивного соревнования (в том числе их работников), принуждение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склонение указанных лиц к оказанию такого влияния или совершение 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действий по предварительному сговору с указанными лицами;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2) получение спортсменами, спортивными судьями, тренерами,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руководителями спортивных команд, другими участниками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организаторами официального спортивного соревнования (в том числе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работниками) денег, ценных бумаг, иного имущества, 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указанными лицами услугами имущественного характера, извлечение 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других выгод и преимуществ или их предварительный сговор.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установлены полномочия и обязанности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власти, спортивных федераций и организаторов спортивных соревнований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целях предотвращения противоправного влияния на результаты официальных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спортивных соревнований и борьбы с ним.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Организаторы официальных спортивных соревнований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предотвращения противоправного влияния на результаты официальных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соревнований и борьбы с ним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обязаны включать в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(регламенты) об официальных спортивных соревнованиях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требования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запрете на участие в азартных играх в букмекерских конторах и тотализаторах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путем заключения пари на официальные спортивные соревнования (часть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color w:val="000000"/>
          <w:sz w:val="28"/>
          <w:szCs w:val="28"/>
        </w:rPr>
        <w:t>статьи 26.2).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Общероссийские спортивные федерации, региональные, местные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спортивные федерации и профессиональные спортивные лиги обязаны: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не допускать к участию в официальных спортивных соревнованиях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спортсменов, спортивных судей, тренеров, руководителей спортивных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 и других участников, соответствующих официальных спортивных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соревнований, являющихся подозреваемыми или обвиняемыми в совершении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преступления, предусмотренного статьей 184 Уголовного кодекса Российской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до вступления в силу приговора суда в отношении указанных лиц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либо до прекращения в отношении их уголовного дела и (или) уголовного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преследования;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применять в пределах своей компетенции после вступления в силу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обвинительного приговора суда санкции к вышеуказанным лицам (в том числе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спортивную дисквалификацию спортсменов), а также к физкультурно-спортивных организациям, принадлежность к которым имеют эти лица,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противоправное влияние на результаты официальных спортивных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соревнований;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применять в пределах своей компетенции санкции к спортсменам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том числе спортивную дисквалификацию спортсменов), спортивным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судьям, тренерам, руководителям спортивных команд, спортивным агентам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другим участникам официальных спортивных соревнований за нарушение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запрета на участие в азартных играх в букмекерских конторах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тотализаторах.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Распоряжение Правительства РФ от 12.10.2017 № 2221-р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«Об утверждении плана по реализации мер, необходимых для обеспечения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готовности Российской Федерации к выполнению обязательств государства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участника Конвенции Совета Европы против манипулирования спортивными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соревнованиями».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Планом предусмотрена подготовка ряда проектов нормативных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правовых актов, направленных на совершенствование федерального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 в сфере спорта.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2011 года в Интерполе действует рабочая группа по борьбе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договорными матчами, в которую входят 75 стран, включая Россию.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  <w:t>Негативные последствия манипулирования</w:t>
      </w:r>
      <w:r>
        <w:rPr>
          <w:rFonts w:ascii="Times New Roman" w:hAnsi="Times New Roman" w:cs="Times New Roman"/>
          <w:b/>
          <w:bCs/>
          <w:i/>
          <w:iCs/>
          <w:color w:val="4472C5"/>
          <w:sz w:val="28"/>
          <w:szCs w:val="28"/>
        </w:rPr>
        <w:t xml:space="preserve"> спортивными соревнованиями: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нарушение принципа защиты добросовестного поведения в спорте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спортивной этики;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подрыв доверия среди населения;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легализация доходов, полученных преступным путем и др.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ГОСУДАРСТВЕННЫЕ ГАРАНТИИ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Ознакомьтесь с этими документами и узнайте, что государство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гарантирует Вам и Вашим детям: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письмо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Минобрнауки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от 16.05.2012 № МД-520/19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оснащении спортивных залов и сооружений общеобразовательных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учреждений» (вместе с «Примерным перечнем и характеристиками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современного спортивного оборудования и инвентаря для оснащения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спортивных залов и сооружений государственных и муниципальных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общеобразовательных учреждений»);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приказ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Минспорта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от 16.08.2013 № 645 «Об утверждении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приема лиц в физкультурно-спортивные организации, созданные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Федерацией и осуществляющие спортивную подготовку»;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приказ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Минспорта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от 16.08.2013 № 636 «Об утверждении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осуществления контроля за соблюдением организациями,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осуществляющими спортивную подготовку, федеральных стандартов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спортивной подготовки».</w:t>
      </w:r>
    </w:p>
    <w:p w:rsidR="0057049F" w:rsidRPr="00622F59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F59">
        <w:rPr>
          <w:rFonts w:ascii="Times New Roman" w:hAnsi="Times New Roman" w:cs="Times New Roman"/>
          <w:b/>
          <w:bCs/>
          <w:sz w:val="28"/>
          <w:szCs w:val="28"/>
        </w:rPr>
        <w:tab/>
        <w:t>- Постановление Правительства Республики Дагестан от 08.04.2015    № 100 «Об утверждении Порядка приема лиц в физкультурно-спортивные организации, созданные Республикой Дагестан или муниципальными образованиями Республики Дагестан и осуществляющие спортивную подготовку».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Базовые виды спорта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виды спорта, включенные в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Олимпийских игр,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Паралимпийских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игр, а также иные виды спорта,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развиваемые субъектами Российской Федерации на своих территориях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учетом сложившихся исторических традиций развития спорта высших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достижений, представительства спортсменов от субъектов Российской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Федерации в составах спортивных сборных команд Российской Федерации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видам спорта и участия данных команд во всероссийских и в международных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официальных спортивных мероприятиях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(пункт 1.2 статьи 2 Федерального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закона от 04.12.2007 № 329-ФЗ «О физической культуре и спорте в Российской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Федерации»).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Приказом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Минспорта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от 14.02.2014 № 83 утвержден 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базовых видов спорта на 2014–2018 годы во всех субъектах Российской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Федерации. С данным перечнем можно ознакомиться на сайтах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 и профильных региональных органов исполнительной власти.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Официальные физкультурные мероприятия и спортивные мероприятия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>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физкультурные мероприятия и спортивные мероприятия, включенные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календарный план межрегиональных, всероссийских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международных физкультурных мероприятий</w:t>
      </w:r>
      <w:proofErr w:type="gram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спортивных мероприятий,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календарные планы физкультурных мероприятий и спортивных мероприятий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муниципальных образований.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Ознакомьтесь с правовой основой физической культуры и спорта в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Республике Дагестан,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1D72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апример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- закон Республики Дагестан от 02.02.2010 № 5 «О физической культуре и спорте в Республике Дагестан»;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iCs/>
          <w:sz w:val="28"/>
          <w:szCs w:val="28"/>
        </w:rPr>
        <w:t>- 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 Республики Дагестан от 22.12.2014       № 658 «Об утверждении государственной программы Республики Дагестан «Развитие физической культуры и спорта в Республике Дагестан на 2015-2020 годы»;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>- постановление Правительства Республики Дагестан от 12.01.2017 № 4 «Вопросы Министерства по физической культуре и спорту Республики Дагестан» (вместе с «Положением о Министерстве по физической культуре и спорту Республики Дагестан», «Структурой аппарата Министерства по физической культуре и спорту Республики Дагестан»);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>- приказ Министерства по физической культуре и спорту Республики Дагестан от 8.09.2011 г. № 699 «Об утверждении базового (отраслевого) перечня государственных услуг (работ), оказываемых (выполняемых) в сфере физической культуре и спорта»;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>- приказ Министерства по физической культуре и спорту Республики Дагестан от 10.07.2012 г. № 599 «Об утверждении Административного регламента предоставления Министерством по физической культуре и спорту Республики Дагестан государственной услуги «Аттестация педагогических работников в сфере физической культуры и спорта»;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приказ Министерства по физической культуре и спорту Республики Дагестан от 9.10.2012 г. № 920 «Об утверждении Административного регламента предоставления Министерством по физической культуре и 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спорту Республики Дагестан государственной услуги «Аккредитация республиканских общественных объединений (федераций, союзов, ассоциаций) по различным видам спорта»;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8.02.2011 г. № 51 «Об утверждении Административного регламента предоставления государственной услуги «Присвоение судейских категорий»;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8.02.2011 г. № 55 «Об утверждении Административного регламента предоставления государственной услуги «Организация республиканских физкультурно-оздоровительных и спортивно-массовых мероприятий и обеспечение участия дагестанских спортсменов во всероссийских и международных спортивных мероприятиях»;</w:t>
      </w:r>
    </w:p>
    <w:p w:rsidR="0057049F" w:rsidRPr="00FC22AB" w:rsidRDefault="0057049F" w:rsidP="00570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2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C22AB">
        <w:rPr>
          <w:rFonts w:ascii="Times New Roman" w:hAnsi="Times New Roman" w:cs="Times New Roman"/>
          <w:b/>
          <w:bCs/>
          <w:sz w:val="28"/>
          <w:szCs w:val="28"/>
        </w:rPr>
        <w:t>риказ Министерства по физической культуре и спорту Республики Дагестан от 8.02.2011 г. № 57 «Об утверждении Административного регламента предоставления государственной услуги «Присвоение спортивного разряда кандидата в мастера спорта»;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К полномочиям субъектов Российской Федерации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физической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спорта относятся в том числе: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 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проведение региональных официальных физкультурных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и спортивных мероприятий и межмуниципальных официальных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физкультурных мероприятий и спортивных мероприятий;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развитие детско-юношеского спорта;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содействие развитию массового спорта, спорта высших достижений;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 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содействие развитию профессионального спорта путем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государственной поддержки физкультурно-спортивным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основным видом деятельности которых является развитие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профессионального спорта;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реализация мер по развитию физической культуры и спорта инвалидов,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 с ограниченными возможностями здоровья, адаптивной физической культуры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адаптивного спорта в субъектах Российской Федерации.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На сайтах региональных органов исполнительной власти в сети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«Интернет» предоставляются государственные услуги по записи ребенка на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занятия физической культурой и спортом.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lastRenderedPageBreak/>
        <w:t>ОСНОВНЫЕ ОБЯЗАННОСТИ СПОРТИВНЫХ ОРГАНИЗАЦИЙ</w:t>
      </w:r>
      <w:r>
        <w:rPr>
          <w:rFonts w:ascii="Times New Roman" w:hAnsi="Times New Roman" w:cs="Times New Roman"/>
          <w:b/>
          <w:bCs/>
          <w:color w:val="2E74B6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2E74B6"/>
          <w:sz w:val="28"/>
          <w:szCs w:val="28"/>
        </w:rPr>
        <w:t>В СФЕРЕ ПРОТИВОДЕЙСТВИЯ КОРРУПЦИИ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Меры по предупреждению коррупции могут включать: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определение подразделений или должностных лиц, ответственных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профилактику коррупционных и иных правонарушений;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сотрудничество организации с правоохранительными органами;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разработку и внедрение в практику стандартов и процедур,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направленных на обеспечение добросовестной работы организации;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кодекса этики и служебного поведения работников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предотвращение и урегулирование конфликта интересов;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недопущение составления неофициальной отчетности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 поддельных документов.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Данная обязанность распространяется на все организации вне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зависимости от их форм собственности, организационно-правовых форм,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отраслевой принадлежности и иных обстоятельств.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вводимых мер определяется организацией самостоятельно,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исходя из специфики ее деятельности и реализуемых функций, оценки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 коррупционных рисков. Главное требование – они 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противоречить законодательству и налагать на работников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и иных лиц обязанности, не предусмотренные нормативными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правовыми актами.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Министерством труда и социальной защиты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08.11.2013 изданы Методические рекомендации по разработке и принятию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организациями мер по предупреждению и противодействию коррупции,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 размещены на официальном сайте государственного органа в сети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«Интернет» (www.rosmintrud.ru).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со статьей 13.3 Федерального закона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25.12.2008 № 273-ФЗ «О противодействии коррупции»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обязаны разрабатывать и принимать меры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предупреждению коррупции.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АДМИНИСТРАТИВНАЯ ОТВЕТСТВЕННОСТЬ ЗА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СОВЕРШЕНИЕ</w:t>
      </w:r>
      <w:r>
        <w:rPr>
          <w:rFonts w:ascii="Times New Roman" w:hAnsi="Times New Roman" w:cs="Times New Roman"/>
          <w:b/>
          <w:bCs/>
          <w:color w:val="5B9CD6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5B9CD6"/>
          <w:sz w:val="28"/>
          <w:szCs w:val="28"/>
        </w:rPr>
        <w:t>КОРРУПЦИОННЫХ ПРАВОНАРУШЕНИЙ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B9CD6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нормы, устанавливающие ответственность юридических лиц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коррупционные правонарушения, закреплены в статье 14 Федерального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 «О противодействии коррупции». В соответствии с данной статьей,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от имени или в интересах юридического лица осуществляются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подготовка и совершение коррупционных правонарушений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правонарушений, создающие условия для совершения коррупционных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правонарушений, к юридическому лицу могут быть применены меры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этом применение мер ответственности за коррупционное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правонарушение к юридическому лицу не освобождает от ответственности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данное коррупционное правонарушение виновное физическое лицо.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Привлечение к уголовной или иной ответственности за коррупционное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правонарушение физического лица не освобождает от ответственности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данное коррупционное правонарушение юридическое лицо. В случаях,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предусмотренных законодательством Российской Федерации, данные нормы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распространяются на иностранные юридические лица.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Незаконное вознаграждение от имени юридического лица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(статья 19.28 КоАП РФ).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обещание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имени или в интересах юридического лица должностному лицу, лицу,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выполняющему управленческие функции в коммерческой или 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организации, иностранному должностному лицу либо должностному лицу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публичной международной организации: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денег, ценных бумаг, иного имущества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оказание ему услуг имущественного характера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предоставление имущественных прав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 1 ст. 19.28 КоАП РФ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Возбуждение дел об административных правонарушениях,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предусмотренных статьей 19.28 КоАП РФ, является исключительной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компетенцией прокурора.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Рассматривают указанные дела судьи судов общей юрисдикции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(федеральные судьи).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Так, например, в одном из субъектов Российской Федерации к административной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ответственности по статье 19.28 КоАП РФ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привлечен хоккейный клуб, директор которого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через посредника незаконно передал министру физической культуры, спорта и туризма 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субъекту Российской Федерации денежное вознаграждение в размере не менее 8 млн. рублей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 совершение действий, входящих в его служебные полномочия по включению учреждения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перечень команд, имеющих поддержку за счет средств регионального бюджета, а также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подписанию договоров о выделении субсидии для данного клуба.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 знать!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 пунктом 7.1 части 1 статьи 31 Федерального закона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05.04.2013 № 44-ФЗ «О контрактной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истеме в сфере закупок товаров, р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абот,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 для обеспечения государственных и муниципальных нужд» не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допускается участие в закупках юридического лица, которое в течение двух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 до момента подачи заявки на участие в закупке было привлечено 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административной ответственности по статье 19.28 КоАП РФ.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Генеральной прокуратурой Российской Федерации сформирован реестр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юридических лиц, привлеченных к административной ответственности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данной статье, и обеспечено его размещение на сайте Генеральной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прокуратуры Российской Федерации в сети «Интернет».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Заинтересованным лицам следует руководствоваться данным реестром.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крупном размере (сумма денег,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ценных бумаг, иного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услуг имущественного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характера, имущественных прав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превышает 1 миллион рублей)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ч.2 ст. 19.28 КоАП РФ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особо крупном размере (сумма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денег, стоимость ценных бумаг, иного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услуг имущественного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характера, имущественных прав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превышает 20 миллионов рублей)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ч.3 ст. 19.28 КоАП РФ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совершение в интересах данного юридического лица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должностным лицом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лицом, выполняющим управленческие функции в коммерческой или 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иностранным должностным лицом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должностным лицом публичной международной организации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 или бездействия, связанного с занимаемым ими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служебным положением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УГОЛОВНАЯ ОТВЕТСТВЕННОСТЬ ЗА СОВЕРШЕНИЕ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КОРРУПЦИОННЫХ ПРАВОНАРУШЕНИЙ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Оказание противоправного влияния на результат официального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спортивного соревнования или зрелищного коммерческого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конкурса (статья 184 УК РФ)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5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первая.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Передача спортсмену, спортивному судье, тренеру,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руководителю спортивной команды, другому участнику или организатору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официального спортивного соревнования (в том числе их работнику), а равно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члену жюри, участнику или организатору зрелищного коммерческого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денег, ценных бумаг, иного имущества, а также оказание ему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характера, предоставление иных имущественных прав (в 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 когда по указанию такого лица имущество передается, или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 оказываются, или имущественные права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предоставляются иному физическому или юридическому лицу) в целях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оказания противоправного влияния на результат официального спортивного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или зрелищного коммерческого конкурса, либо принуждение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склонение таких лиц к оказанию этого влияния, либо предварительный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сговор с такими лицами в тех же целях.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вторая.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 же деяния, совершенные организованной группой.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третья.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Получение спортсменом, тренером, руководителем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спортивной команды или другим участником официального спортивного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соревнования, а равно участником зрелищного коммерческого конкурса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денег, ценных бумаг, иного имущества, а также пользование им услугами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 или иными имущественными правами (в том числе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по указанию такого лица имущество передается, или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 оказываются, или имущественные права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предоставляются иному физическому или юридическому лицу)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предварительный сговор таких лиц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целях противоправного влияния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 официального спортивного соревнования или зрелищного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коммерческого конкурса.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четвертая.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Деяния, предусмотренные частью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настоящей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статьи и совершенные спортивным судьей или организатором официального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спортивного соревнования, а равно членом жюри или организатором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зрелищного коммерческого конкурса.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Часть пятая.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Посредничество в совершении деяний, предусмотренных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частями первой - четвертой настоящей статьи, в значительном размере.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Примечание.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Лицо, совершившее преступление, предусмотренное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частью первой, второй или пятой настоящей статьи, освобождается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уголовной ответственности, если оно активно способствовало раскрытию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(или) расследованию преступления и либо в отношении его имело место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вымогательство, либо это лицо добровольно сообщило о совершенном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преступлении в орган, имеющий право возбудить уголовное дело.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Другие коррупционные преступления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(в соответствии с Уголовным кодексом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Российской Федерации)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Взяточничество (ст. 290, 291, 291.1, 291.2 УК РФ)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дача или получение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должностным лицом материальных ценностей, например, денег, ценных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бумаг, иного имущества, либо незаконного оказания ему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имущественного характера, предоставления иных имущественных прав 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совершение действий (бездействия) в пользу того, кто дает взятку либо иных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лиц. Обязательное условие – действие (бездействие) входит в служебные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 этого должностного лица.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Например, приговором суда осуждены по подпунктам «а, в» части 5 статьи 290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УК РФ (получение взятки группой лиц в крупном размере) к уголовной ответственности 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виде штрафа в размере 1 млн. рублей директор государственного бюджетного учреждения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олимпийской подготовке спортсменов и его заместитель, которые получили взятку от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хоккейного клуба за предоставление ледовой площадки для проведения тренировочных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мероприятий без составления соответствующего договора на предоставление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спортивных сооружений во временное пользование.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Коммерческий подкуп (ст. 204, 204.1, 204.2 УК РФ)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незаконная передача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лицу, выполняющему управленческие функции в коммерческой или 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организации, денег, ценных бумаг, иного имущества, а также незаконные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ему услуг имущественного характера, предоставление иных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имущественных прав (в том числе когда по указанию такого лица имущество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передается, или услуги имущественного характера оказываются,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имущественные права предоставляются иному физическому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юридическому лицу) за совершение действий (бездействие) в интересах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дающего или иных лиц, если указанные действия (бездействие) входят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служебные полномочия такого лица либо если оно в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силу своего служебного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 может способствовать указанным действиям (бездействию).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Хищение (ст. 159, 160 УК РФ)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совершенные с корыстной целью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противоправные безвозмездное изъятие и (или) обращение чужого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в пользу виновного или других лиц, причинившие ущерб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собственнику или иному владельцу этого имущества.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4472C5"/>
          <w:sz w:val="28"/>
          <w:szCs w:val="28"/>
        </w:rPr>
        <w:t>Иные преступления:</w:t>
      </w:r>
      <w:r>
        <w:rPr>
          <w:rFonts w:ascii="Times New Roman" w:hAnsi="Times New Roman" w:cs="Times New Roman"/>
          <w:b/>
          <w:bCs/>
          <w:color w:val="4472C5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злоупотребление полномочиями (ст. 201 УК РФ),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злоупотребление должностными полномочиями (ст. 285 УК РФ),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превышение должностных полномочий (ст. 286 УК РФ) и др.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Куда следует обратиться?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102 - общероссийский телефон полиции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8 800 100-12-60 – телефонная линия «Остановим коррупцию» Следственного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комитета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8 495 224-22-22 – телефон доверия Федеральной службы безопасности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органах прокуратуры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рассматриваются обращения, содержащие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нарушениях законодательства, охраняемых законом прав, свобод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интересов человека и гражданина, интересов общества и государства.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специальном разделе «Противодействие коррупции» на официальном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интернет-сайте Генеральной прокуратуры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(https://genproc.gov.ru/anticor/)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размещены наиболее актуальные материалы,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которые могут быть интересны широкому кругу лиц: законодательство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противодействии коррупции, методические пособия, сведения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международном сотрудничестве в данной области, информация 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организуемых мероприятиях антикоррупционной направленности и многое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другое.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Кроме того, этот раздел предназначен для оперативного получения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сообщений о коррупционных проявлениях. Все заинтересованные лица имеют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возможность сообщить о ставших им известными фактах коррупционных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проявлений, написав электронное обращение в подразделе «Сообщить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коррупции».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Сообщайте в правоохранительные органы сведения о фактах, имеющих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противоправного влияния на результат официального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спортивного соревнования или зрелищного коммерческого конкурса,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неправомерного расходования бюджетных средств, выделенных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спорта (например, на реализацию федеральных и региональных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целевых программ, строительство спортивных площадок, развитие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спортивных школ и др.).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>АНТИКОРРУПЦИОННАЯ ЭКСПЕРТИЗА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НОРМАТИВНЫХ ПРАВОВЫХ АКТОВ И ИХ ПРОЕКТОВ, РЕГУЛИРУЮЩИХ</w:t>
      </w: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ПРАВООТНОШЕНИЯ В СФЕРЕ СПОРТА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ее проведения урегулирован Федеральным законом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17.07.2009 № 172-ФЗ «Об антикоррупционной экспертизе нормативных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правовых актов и проектов нормативных правовых актов».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Постановлением Правительства Российской Федерации от 26.02.2010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96 «Об антикоррупционной экспертизе нормативных правовых актов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проектов нормативных правовых актов» утверждены Правила проведения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 экспертизы нормативных правовых актов и проектов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нормативных правовых актов и методика проведения антикоррупционной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экспертизы нормативных правовых актов и проектов нормативных правовых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 антикоррупционной экспертизы является выявление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посредством принятия правовых средств устранение предпосылок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коррупции (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коррупциогенных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факторов), что по своей сути отождествляется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устранением дефектов правовой нормы, правовой формулы.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Например, по протесту прокуратуры Республики Мордовия приведен 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соответствие с требованиями федерального законодательства Порядок предоставления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субсидий из бюджета городского округа Саранск на возмещение затрат, связанных 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перевозкой пассажиров в дни проведения матчей Чемпионата мира по футболу FIFA 2018 г.,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организациям, осуществляющим перевозку внутригородских автомобильным 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электрическим транспортом, который устанавливал обременительные требования 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организациям в виде запрета получателям субсидии на приобретение средств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иностранной валюты за счет выделенных бюджетных средств, а также предоставлял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уполномоченным должностным лицам органа местного самоуправления необоснованно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широкие пределы усмотрения при принятии решения о выделении субсидии либо об отказе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ее предоставлении, что свидетельствовало о наличии </w:t>
      </w:r>
      <w:proofErr w:type="spellStart"/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коррупциогенных</w:t>
      </w:r>
      <w:proofErr w:type="spellEnd"/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факторов,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заключающихся в широте дискреционных полномочий и наличии завышенных требований 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лицу для реализации принадлежащего ему права.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Коррупциогенны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факторы – положения нормативных правовых актов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(их проектов), устанавливающие для </w:t>
      </w:r>
      <w:proofErr w:type="spellStart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правоприменителя</w:t>
      </w:r>
      <w:proofErr w:type="spellEnd"/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необоснованно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широкие пределы усмотрения или возможность необоснованного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применения исключений из общих правил, а также положения,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содержащие неопределенные, трудновыполнимые и (или)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обременительные требования к гражданам и организациям и тем самым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создающие условия для проявления коррупции (часть 2 статьи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№ 172-ФЗ).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lastRenderedPageBreak/>
        <w:t>Если у вас просят взятку. Ваши действия?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Не предлагайте и не давайте взятку!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Иначе вы сами совершите преступление (статья 291 Уголовного кодекса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Федерации). Выслушайте требования вымогателя, чтобы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обратиться в полицию.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вы останетесь один, немедленно звоните в полицию!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Прежде чем написать заявление...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Помните, что за сообщение о вымышленном факте вымогательства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взятки предусмотрена уголовная ответственность. Ложный донос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наказывается штрафом или принудительными работами, или даже лишением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свободы до трех лет. Если докажут, что доказательства искусственно созданы,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 срок лишения свободы увеличится до шести лет (ст. 306 Уголовного кодекса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Федерации).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Как привлечь вымогателя к ответственности?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 должны будете проехать в ближайшее отделение полиции и написать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о преступлении вы можете сделать в устном, электронном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 письменном виде. Приложите к нему доказательства, если они у вас есть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(записка с суммой, сделанная вымогателем, диктофонная запись). Письменное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 о преступлении обязательно подпишите. Укажите почтовый или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электронный адрес, куда должен будет прийти ответ.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Устное заявление о преступлении заносится в протокол, который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подписывается вами и сотрудником, принявшим заявление. Протокол должен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содержать данные о вас, а также о документах, удостоверяющих вашу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 предупредят об уголовной ответственности за заведомо ложный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донос в соответствии со ст. 306 Уголовного кодекса РФ, о чем в протоколе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будет сделана отметка. Подпишите.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регистрации заявления вы должны получить талон-уведомление,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котором указывается порядковый номер заявления по книге учета сообщений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дата его принятия.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Подробнее о заявлении о преступлении можно прочитать в статье 141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Уголовно-процессуального кодекса Российской Федерации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70C1"/>
          <w:sz w:val="28"/>
          <w:szCs w:val="28"/>
        </w:rPr>
        <w:t>Что ждет вымогателя?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Преступление</w:t>
      </w:r>
      <w:r w:rsidRPr="00E26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аказание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елкое взяточничество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(менее 10 тыс. руб.)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 года в колонии-поселении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(от 10 тыс. до 25 тыс. руб.) до 3 лет в колонии-поселении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в значительном размере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25 тыс. до 150 тыс. руб.)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6 лет в колонии общего режима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в крупном размере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150 тыс. до 1 млн руб.)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12 лет в колонии строгого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049F" w:rsidRPr="006C3197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Взятка в особо крупном размере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1 млн руб.)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15 лет в колонии особого режима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7049F" w:rsidRDefault="0057049F" w:rsidP="0057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5"/>
          <w:sz w:val="28"/>
          <w:szCs w:val="28"/>
        </w:rPr>
      </w:pPr>
      <w:bookmarkStart w:id="0" w:name="_GoBack"/>
      <w:bookmarkEnd w:id="0"/>
    </w:p>
    <w:p w:rsidR="004E3303" w:rsidRDefault="004E3303"/>
    <w:sectPr w:rsidR="004E3303" w:rsidSect="009E539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122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5394" w:rsidRPr="009E5394" w:rsidRDefault="0057049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53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5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E53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5394" w:rsidRDefault="005704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BD"/>
    <w:rsid w:val="004E3303"/>
    <w:rsid w:val="0057049F"/>
    <w:rsid w:val="00D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8F1D-2FA4-4F3E-BC39-EA50FA71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49F"/>
    <w:rPr>
      <w:b/>
      <w:bCs/>
    </w:rPr>
  </w:style>
  <w:style w:type="character" w:styleId="a4">
    <w:name w:val="Hyperlink"/>
    <w:basedOn w:val="a0"/>
    <w:uiPriority w:val="99"/>
    <w:unhideWhenUsed/>
    <w:rsid w:val="0057049F"/>
    <w:rPr>
      <w:color w:val="0000FF"/>
      <w:u w:val="single"/>
    </w:rPr>
  </w:style>
  <w:style w:type="paragraph" w:styleId="a5">
    <w:name w:val="No Spacing"/>
    <w:uiPriority w:val="1"/>
    <w:qFormat/>
    <w:rsid w:val="005704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7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49F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70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4550</Words>
  <Characters>25935</Characters>
  <Application>Microsoft Office Word</Application>
  <DocSecurity>0</DocSecurity>
  <Lines>216</Lines>
  <Paragraphs>60</Paragraphs>
  <ScaleCrop>false</ScaleCrop>
  <Company/>
  <LinksUpToDate>false</LinksUpToDate>
  <CharactersWithSpaces>30425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2024-12-12T09:23:00Z</dcterms:created>
  <dcterms:modified xsi:type="dcterms:W3CDTF">2024-12-12T09:23:00Z</dcterms:modified>
</cp:coreProperties>
</file>